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7C2A" w14:textId="3ECB68F8" w:rsidR="0058795E" w:rsidRPr="00A85A32" w:rsidRDefault="0058795E" w:rsidP="00A85A32">
      <w:pPr>
        <w:jc w:val="center"/>
        <w:rPr>
          <w:b/>
        </w:rPr>
      </w:pPr>
      <w:bookmarkStart w:id="0" w:name="_Hlk524099070"/>
      <w:r w:rsidRPr="00A85A32">
        <w:rPr>
          <w:b/>
        </w:rPr>
        <w:t>NIMH Regulatory Document Checklist</w:t>
      </w:r>
      <w:r w:rsidRPr="00A85A32">
        <w:rPr>
          <w:b/>
          <w:vertAlign w:val="superscript"/>
        </w:rPr>
        <w:t xml:space="preserve"> </w:t>
      </w:r>
      <w:r w:rsidRPr="00A85A32">
        <w:rPr>
          <w:b/>
        </w:rPr>
        <w:t xml:space="preserve">for </w:t>
      </w:r>
      <w:r w:rsidR="00817645">
        <w:rPr>
          <w:b/>
        </w:rPr>
        <w:t>Studies</w:t>
      </w:r>
      <w:r w:rsidRPr="00A85A32">
        <w:rPr>
          <w:b/>
        </w:rPr>
        <w:t xml:space="preserve"> under an FDA IND or IDE</w:t>
      </w:r>
    </w:p>
    <w:p w14:paraId="77A625B4" w14:textId="63BC6DB8" w:rsidR="0058795E" w:rsidRPr="00A85A32" w:rsidRDefault="0058795E" w:rsidP="0058795E">
      <w:pPr>
        <w:shd w:val="clear" w:color="auto" w:fill="FFFFFF"/>
        <w:spacing w:after="0" w:line="240" w:lineRule="auto"/>
        <w:rPr>
          <w:rFonts w:cs="Calibri Light"/>
        </w:rPr>
      </w:pPr>
      <w:r w:rsidRPr="00A85A32">
        <w:rPr>
          <w:rFonts w:cs="Calibri Light"/>
          <w:b/>
          <w:bCs/>
          <w:i/>
          <w:iCs/>
        </w:rPr>
        <w:t>Purpose</w:t>
      </w:r>
      <w:bookmarkStart w:id="1" w:name="_Hlk526782697"/>
      <w:r w:rsidRPr="00A85A32">
        <w:rPr>
          <w:rFonts w:cs="Calibri Light"/>
          <w:b/>
          <w:bCs/>
          <w:i/>
          <w:iCs/>
        </w:rPr>
        <w:t>:</w:t>
      </w:r>
      <w:r w:rsidRPr="00A85A32">
        <w:rPr>
          <w:rFonts w:cs="Calibri Light"/>
          <w:i/>
          <w:iCs/>
        </w:rPr>
        <w:t xml:space="preserve"> </w:t>
      </w:r>
      <w:r w:rsidRPr="00481A03">
        <w:rPr>
          <w:rFonts w:cs="Calibri Light"/>
          <w:i/>
          <w:shd w:val="clear" w:color="auto" w:fill="FFFFFF"/>
        </w:rPr>
        <w:t xml:space="preserve">This </w:t>
      </w:r>
      <w:r w:rsidR="00817645">
        <w:rPr>
          <w:rFonts w:cs="Calibri Light"/>
          <w:i/>
          <w:shd w:val="clear" w:color="auto" w:fill="FFFFFF"/>
        </w:rPr>
        <w:t xml:space="preserve">checklist </w:t>
      </w:r>
      <w:r w:rsidRPr="00481A03">
        <w:rPr>
          <w:rFonts w:cs="Calibri Light"/>
          <w:i/>
          <w:shd w:val="clear" w:color="auto" w:fill="FFFFFF"/>
        </w:rPr>
        <w:t>may be used</w:t>
      </w:r>
      <w:r w:rsidRPr="00481A03">
        <w:rPr>
          <w:rFonts w:cs="Calibri Light"/>
          <w:i/>
        </w:rPr>
        <w:t xml:space="preserve"> </w:t>
      </w:r>
      <w:r w:rsidRPr="00A85A32">
        <w:rPr>
          <w:rFonts w:cs="Calibri Light"/>
          <w:i/>
        </w:rPr>
        <w:t xml:space="preserve">to record and track </w:t>
      </w:r>
      <w:r w:rsidRPr="00A85A32">
        <w:rPr>
          <w:rFonts w:cs="Calibri Light"/>
          <w:i/>
          <w:iCs/>
        </w:rPr>
        <w:t>regulatory documents for studies under an FDA IND/IDE</w:t>
      </w:r>
      <w:bookmarkEnd w:id="1"/>
    </w:p>
    <w:p w14:paraId="3C017169" w14:textId="77777777" w:rsidR="0058795E" w:rsidRPr="00A85A32" w:rsidRDefault="0058795E" w:rsidP="0058795E">
      <w:pPr>
        <w:spacing w:after="0" w:line="240" w:lineRule="auto"/>
        <w:rPr>
          <w:rFonts w:cs="Calibri Light"/>
          <w:i/>
          <w:iCs/>
        </w:rPr>
      </w:pPr>
    </w:p>
    <w:p w14:paraId="16A42B51" w14:textId="45A877C0" w:rsidR="0058795E" w:rsidRPr="00817645" w:rsidRDefault="0058795E" w:rsidP="00817645">
      <w:pPr>
        <w:spacing w:after="0" w:line="240" w:lineRule="auto"/>
        <w:rPr>
          <w:rFonts w:cs="Calibri Light"/>
          <w:i/>
          <w:iCs/>
        </w:rPr>
        <w:sectPr w:rsidR="0058795E" w:rsidRPr="008176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85A32">
        <w:rPr>
          <w:rFonts w:cs="Calibri Light"/>
          <w:b/>
          <w:bCs/>
          <w:i/>
          <w:iCs/>
        </w:rPr>
        <w:t xml:space="preserve">Audience/User: </w:t>
      </w:r>
      <w:bookmarkStart w:id="3" w:name="_Hlk526782711"/>
      <w:r w:rsidRPr="00A85A32">
        <w:rPr>
          <w:rFonts w:cs="Calibri Light"/>
          <w:i/>
          <w:iCs/>
        </w:rPr>
        <w:t xml:space="preserve">Principal Investigators and study team members who are delegated to manage regulatory documents for studies under an FDA IND/IDE </w:t>
      </w:r>
      <w:bookmarkEnd w:id="3"/>
    </w:p>
    <w:p w14:paraId="63F23C86" w14:textId="65194CCC" w:rsidR="00D43AEF" w:rsidRPr="00A85A32" w:rsidRDefault="00BB31A0" w:rsidP="0020638F">
      <w:pPr>
        <w:jc w:val="center"/>
        <w:rPr>
          <w:b/>
        </w:rPr>
      </w:pPr>
      <w:bookmarkStart w:id="4" w:name="_Hlk527554516"/>
      <w:r w:rsidRPr="00A85A32">
        <w:rPr>
          <w:b/>
        </w:rPr>
        <w:lastRenderedPageBreak/>
        <w:t xml:space="preserve">NIMH </w:t>
      </w:r>
      <w:r w:rsidR="00A948A0" w:rsidRPr="00A85A32">
        <w:rPr>
          <w:b/>
        </w:rPr>
        <w:t>Regulatory Document Checklist</w:t>
      </w:r>
      <w:r w:rsidR="00590169" w:rsidRPr="00A85A32">
        <w:rPr>
          <w:b/>
          <w:vertAlign w:val="superscript"/>
        </w:rPr>
        <w:t xml:space="preserve"> </w:t>
      </w:r>
      <w:r w:rsidR="00A948A0" w:rsidRPr="00A85A32">
        <w:rPr>
          <w:b/>
        </w:rPr>
        <w:t xml:space="preserve">for </w:t>
      </w:r>
      <w:r w:rsidR="00157CDE" w:rsidRPr="00A85A32">
        <w:rPr>
          <w:b/>
        </w:rPr>
        <w:t xml:space="preserve">a Study under an FDA IND or </w:t>
      </w:r>
      <w:r w:rsidR="00A948A0" w:rsidRPr="00A85A32">
        <w:rPr>
          <w:b/>
        </w:rPr>
        <w:t>IDE</w:t>
      </w:r>
      <w:r w:rsidR="00D43AEF" w:rsidRPr="00A85A32">
        <w:rPr>
          <w:b/>
        </w:rPr>
        <w:t xml:space="preserve"> </w:t>
      </w:r>
    </w:p>
    <w:p w14:paraId="5F08CD06" w14:textId="39D1AB9A" w:rsidR="00590169" w:rsidRPr="00A85A32" w:rsidRDefault="00590169" w:rsidP="00590169">
      <w:pPr>
        <w:rPr>
          <w:rFonts w:cstheme="minorHAnsi"/>
        </w:rPr>
      </w:pPr>
      <w:bookmarkStart w:id="5" w:name="_Hlk520794146"/>
      <w:bookmarkEnd w:id="0"/>
      <w:bookmarkEnd w:id="4"/>
      <w:r w:rsidRPr="00A85A32">
        <w:rPr>
          <w:rFonts w:cstheme="minorHAnsi"/>
        </w:rPr>
        <w:t>Study teams are encouraged to use this checklist as a guide for creating a regulatory binder that compiles essential documents for the conduct of an NIMH-</w:t>
      </w:r>
      <w:r w:rsidRPr="00A85A32">
        <w:t xml:space="preserve">funded </w:t>
      </w:r>
      <w:hyperlink r:id="rId13" w:history="1">
        <w:r w:rsidRPr="00A85A32">
          <w:rPr>
            <w:rStyle w:val="Hyperlink"/>
          </w:rPr>
          <w:t>NIH defined clinical trial</w:t>
        </w:r>
      </w:hyperlink>
      <w:r w:rsidRPr="00A85A32">
        <w:t xml:space="preserve">, </w:t>
      </w:r>
      <w:r w:rsidRPr="00A85A32">
        <w:rPr>
          <w:color w:val="000000" w:themeColor="text1"/>
        </w:rPr>
        <w:t xml:space="preserve">or an NIMH-funded human subjects studies that do not meet the NIH definition of a clinical trial, with </w:t>
      </w:r>
      <w:r w:rsidRPr="00A85A32">
        <w:t xml:space="preserve">an investigational drug or device under an FDA </w:t>
      </w:r>
      <w:r w:rsidR="00BB31A0" w:rsidRPr="00A85A32">
        <w:t>Investigational New Drug (IND) application or Investigational Device Exemption (IDE)</w:t>
      </w:r>
      <w:r w:rsidRPr="00A85A32">
        <w:t>.</w:t>
      </w:r>
      <w:r w:rsidRPr="00A85A32">
        <w:rPr>
          <w:rFonts w:cstheme="minorHAnsi"/>
        </w:rPr>
        <w:t xml:space="preserve"> </w:t>
      </w:r>
      <w:r w:rsidR="00406294" w:rsidRPr="00A85A32">
        <w:rPr>
          <w:rFonts w:cstheme="minorHAnsi"/>
        </w:rPr>
        <w:t>Principal Investigators (</w:t>
      </w:r>
      <w:r w:rsidRPr="00A85A32">
        <w:rPr>
          <w:rFonts w:cstheme="minorHAnsi"/>
        </w:rPr>
        <w:t>PIs</w:t>
      </w:r>
      <w:r w:rsidR="00406294" w:rsidRPr="00A85A32">
        <w:rPr>
          <w:rFonts w:cstheme="minorHAnsi"/>
        </w:rPr>
        <w:t>)</w:t>
      </w:r>
      <w:r w:rsidRPr="00A85A32">
        <w:rPr>
          <w:rFonts w:cstheme="minorHAnsi"/>
        </w:rPr>
        <w:t xml:space="preserve"> are responsible for following any institutional, state, or federal policies pertaining to regulatory documentation. A regulatory binder is a central organized file (can be paper or electronic or both) that houses documents pertaining to the conduct of the study (e.g.</w:t>
      </w:r>
      <w:r w:rsidR="00406294" w:rsidRPr="00A85A32">
        <w:rPr>
          <w:rFonts w:cstheme="minorHAnsi"/>
        </w:rPr>
        <w:t>, Institutional Review Board</w:t>
      </w:r>
      <w:r w:rsidRPr="00A85A32">
        <w:rPr>
          <w:rFonts w:cstheme="minorHAnsi"/>
        </w:rPr>
        <w:t xml:space="preserve"> </w:t>
      </w:r>
      <w:r w:rsidR="00406294" w:rsidRPr="00A85A32">
        <w:rPr>
          <w:rFonts w:cstheme="minorHAnsi"/>
        </w:rPr>
        <w:t>(</w:t>
      </w:r>
      <w:r w:rsidRPr="00A85A32">
        <w:rPr>
          <w:rFonts w:cstheme="minorHAnsi"/>
        </w:rPr>
        <w:t>IRB</w:t>
      </w:r>
      <w:r w:rsidR="00406294" w:rsidRPr="00A85A32">
        <w:rPr>
          <w:rFonts w:cstheme="minorHAnsi"/>
        </w:rPr>
        <w:t>)</w:t>
      </w:r>
      <w:r w:rsidRPr="00A85A32">
        <w:rPr>
          <w:rFonts w:cstheme="minorHAnsi"/>
        </w:rPr>
        <w:t xml:space="preserve"> approvals, CVs, licenses, meeting minutes, template case report forms, etc.) The following documents are recommended to be on file in the study regulatory binder.</w:t>
      </w:r>
      <w:bookmarkEnd w:id="5"/>
      <w:r w:rsidR="001134A5">
        <w:rPr>
          <w:rFonts w:cstheme="minorHAnsi"/>
        </w:rPr>
        <w:t xml:space="preserve"> </w:t>
      </w:r>
      <w:r w:rsidR="001134A5" w:rsidRPr="007376B4">
        <w:rPr>
          <w:rFonts w:cstheme="minorHAnsi"/>
        </w:rPr>
        <w:t>NIMH encourages study teams to verify what additional documents, or alternative formats of the documents in the checklists, their institution and IRB require</w:t>
      </w:r>
      <w:r w:rsidR="001134A5">
        <w:rPr>
          <w:rFonts w:cstheme="minorHAnsi"/>
        </w:rPr>
        <w:t>.</w:t>
      </w:r>
    </w:p>
    <w:p w14:paraId="6FAE520B" w14:textId="77777777" w:rsidR="00A948A0" w:rsidRPr="00A85A32" w:rsidRDefault="00A948A0" w:rsidP="00A948A0">
      <w:pPr>
        <w:jc w:val="center"/>
        <w:rPr>
          <w:b/>
        </w:rPr>
      </w:pPr>
      <w:bookmarkStart w:id="6" w:name="_Hlk521511688"/>
    </w:p>
    <w:tbl>
      <w:tblPr>
        <w:tblStyle w:val="GridTable1Light"/>
        <w:tblW w:w="5291" w:type="pct"/>
        <w:tblLook w:val="0020" w:firstRow="1" w:lastRow="0" w:firstColumn="0" w:lastColumn="0" w:noHBand="0" w:noVBand="0"/>
      </w:tblPr>
      <w:tblGrid>
        <w:gridCol w:w="2640"/>
        <w:gridCol w:w="7254"/>
      </w:tblGrid>
      <w:tr w:rsidR="005D555F" w:rsidRPr="00A85A32" w14:paraId="29CFE46C" w14:textId="77777777" w:rsidTr="00D62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4" w:type="pct"/>
          </w:tcPr>
          <w:p w14:paraId="0D8E5B4C" w14:textId="77777777" w:rsidR="005D555F" w:rsidRPr="00A85A32" w:rsidRDefault="005D555F" w:rsidP="00590169">
            <w:pPr>
              <w:pStyle w:val="TH-TableHeading"/>
              <w:spacing w:before="100" w:beforeAutospacing="1" w:after="100" w:afterAutospacing="1"/>
              <w:rPr>
                <w:b/>
                <w:szCs w:val="22"/>
              </w:rPr>
            </w:pPr>
            <w:r w:rsidRPr="00A85A32">
              <w:rPr>
                <w:b/>
                <w:szCs w:val="22"/>
              </w:rPr>
              <w:t>Document</w:t>
            </w:r>
          </w:p>
        </w:tc>
        <w:tc>
          <w:tcPr>
            <w:tcW w:w="3666" w:type="pct"/>
          </w:tcPr>
          <w:p w14:paraId="29512A48" w14:textId="77777777" w:rsidR="005D555F" w:rsidRPr="00A85A32" w:rsidRDefault="005D555F" w:rsidP="00590169">
            <w:pPr>
              <w:pStyle w:val="TH-TableHeading"/>
              <w:spacing w:before="100" w:beforeAutospacing="1" w:after="100" w:afterAutospacing="1"/>
              <w:rPr>
                <w:b/>
                <w:szCs w:val="22"/>
              </w:rPr>
            </w:pPr>
            <w:r w:rsidRPr="00A85A32">
              <w:rPr>
                <w:b/>
                <w:szCs w:val="22"/>
              </w:rPr>
              <w:t>Description</w:t>
            </w:r>
          </w:p>
        </w:tc>
      </w:tr>
      <w:tr w:rsidR="005D555F" w:rsidRPr="00A85A32" w14:paraId="52D65D52" w14:textId="77777777" w:rsidTr="00D62F00">
        <w:tc>
          <w:tcPr>
            <w:tcW w:w="1334" w:type="pct"/>
          </w:tcPr>
          <w:p w14:paraId="277ADC07" w14:textId="77777777" w:rsidR="005D555F" w:rsidRPr="00A85A32" w:rsidRDefault="005D555F" w:rsidP="00590169">
            <w:pPr>
              <w:pStyle w:val="TX-TableText"/>
              <w:spacing w:before="100" w:beforeAutospacing="1" w:after="100" w:afterAutospacing="1"/>
              <w:ind w:left="0"/>
              <w:rPr>
                <w:b/>
                <w:snapToGrid w:val="0"/>
                <w:szCs w:val="22"/>
              </w:rPr>
            </w:pPr>
            <w:r w:rsidRPr="00A85A32">
              <w:rPr>
                <w:b/>
                <w:szCs w:val="22"/>
              </w:rPr>
              <w:t xml:space="preserve">Essential regulatory documents described in </w:t>
            </w:r>
            <w:r w:rsidR="00352BFA" w:rsidRPr="00A85A32">
              <w:rPr>
                <w:b/>
                <w:szCs w:val="22"/>
              </w:rPr>
              <w:t xml:space="preserve">International Council for </w:t>
            </w:r>
            <w:proofErr w:type="spellStart"/>
            <w:r w:rsidR="00352BFA" w:rsidRPr="00A85A32">
              <w:rPr>
                <w:b/>
                <w:szCs w:val="22"/>
              </w:rPr>
              <w:t>Harmonisation</w:t>
            </w:r>
            <w:proofErr w:type="spellEnd"/>
            <w:r w:rsidR="00352BFA" w:rsidRPr="00A85A32">
              <w:rPr>
                <w:b/>
                <w:szCs w:val="22"/>
              </w:rPr>
              <w:t xml:space="preserve"> (</w:t>
            </w:r>
            <w:r w:rsidRPr="00A85A32">
              <w:rPr>
                <w:b/>
                <w:szCs w:val="22"/>
              </w:rPr>
              <w:t>ICH</w:t>
            </w:r>
            <w:r w:rsidR="00352BFA" w:rsidRPr="00A85A32">
              <w:rPr>
                <w:b/>
                <w:szCs w:val="22"/>
              </w:rPr>
              <w:t>) Good Clinical Practice</w:t>
            </w:r>
            <w:r w:rsidRPr="00A85A32">
              <w:rPr>
                <w:b/>
                <w:szCs w:val="22"/>
              </w:rPr>
              <w:t xml:space="preserve"> </w:t>
            </w:r>
            <w:r w:rsidR="00352BFA" w:rsidRPr="00A85A32">
              <w:rPr>
                <w:b/>
                <w:szCs w:val="22"/>
              </w:rPr>
              <w:t>(</w:t>
            </w:r>
            <w:r w:rsidRPr="00A85A32">
              <w:rPr>
                <w:b/>
                <w:szCs w:val="22"/>
              </w:rPr>
              <w:t>GCP</w:t>
            </w:r>
            <w:r w:rsidR="00352BFA" w:rsidRPr="00A85A32">
              <w:rPr>
                <w:b/>
                <w:szCs w:val="22"/>
              </w:rPr>
              <w:t>)</w:t>
            </w:r>
            <w:r w:rsidRPr="00A85A32">
              <w:rPr>
                <w:b/>
                <w:szCs w:val="22"/>
              </w:rPr>
              <w:t xml:space="preserve"> E6 (R2)</w:t>
            </w:r>
          </w:p>
        </w:tc>
        <w:tc>
          <w:tcPr>
            <w:tcW w:w="3666" w:type="pct"/>
          </w:tcPr>
          <w:p w14:paraId="2F57B563" w14:textId="77777777" w:rsidR="005D555F" w:rsidRPr="00A85A32" w:rsidRDefault="0020638F" w:rsidP="00590169">
            <w:pPr>
              <w:pStyle w:val="TX-TableText"/>
              <w:spacing w:before="100" w:beforeAutospacing="1" w:after="100" w:afterAutospacing="1"/>
              <w:ind w:left="0"/>
              <w:rPr>
                <w:szCs w:val="22"/>
              </w:rPr>
            </w:pPr>
            <w:r w:rsidRPr="00A85A32">
              <w:rPr>
                <w:szCs w:val="22"/>
              </w:rPr>
              <w:t xml:space="preserve">The regulatory documents outlined in </w:t>
            </w:r>
            <w:r w:rsidR="00352BFA" w:rsidRPr="00A85A32">
              <w:rPr>
                <w:szCs w:val="22"/>
              </w:rPr>
              <w:t xml:space="preserve">Section 8 of </w:t>
            </w:r>
            <w:r w:rsidRPr="00A85A32">
              <w:rPr>
                <w:szCs w:val="22"/>
              </w:rPr>
              <w:t>the ICH GCP document should be available in the study regulatory binder, as applicable</w:t>
            </w:r>
            <w:r w:rsidR="00352BFA" w:rsidRPr="00A85A32">
              <w:rPr>
                <w:szCs w:val="22"/>
              </w:rPr>
              <w:t xml:space="preserve">: </w:t>
            </w:r>
            <w:hyperlink r:id="rId14" w:history="1">
              <w:r w:rsidR="005D555F" w:rsidRPr="00A85A32">
                <w:rPr>
                  <w:rStyle w:val="Hyperlink"/>
                  <w:szCs w:val="22"/>
                </w:rPr>
                <w:t>https://www.fda.gov/downloads/Drugs/Guidances/UCM464506.pdf</w:t>
              </w:r>
            </w:hyperlink>
          </w:p>
        </w:tc>
      </w:tr>
      <w:tr w:rsidR="00352BFA" w:rsidRPr="00A85A32" w14:paraId="44C6EAE8" w14:textId="77777777" w:rsidTr="00D62F00">
        <w:tc>
          <w:tcPr>
            <w:tcW w:w="1334" w:type="pct"/>
          </w:tcPr>
          <w:p w14:paraId="04C70223" w14:textId="03CAA14C" w:rsidR="00352BFA" w:rsidRPr="00A85A32" w:rsidRDefault="00352BFA" w:rsidP="00590169">
            <w:pPr>
              <w:pStyle w:val="TX-TableText"/>
              <w:spacing w:before="100" w:beforeAutospacing="1" w:after="100" w:afterAutospacing="1"/>
              <w:ind w:left="0"/>
              <w:rPr>
                <w:b/>
                <w:snapToGrid w:val="0"/>
                <w:spacing w:val="-2"/>
                <w:szCs w:val="22"/>
              </w:rPr>
            </w:pPr>
            <w:proofErr w:type="spellStart"/>
            <w:r w:rsidRPr="00A85A32">
              <w:rPr>
                <w:b/>
                <w:snapToGrid w:val="0"/>
                <w:spacing w:val="-4"/>
                <w:szCs w:val="22"/>
              </w:rPr>
              <w:t>Federal</w:t>
            </w:r>
            <w:r w:rsidR="001134A5">
              <w:rPr>
                <w:b/>
                <w:snapToGrid w:val="0"/>
                <w:spacing w:val="-4"/>
                <w:szCs w:val="22"/>
              </w:rPr>
              <w:t>w</w:t>
            </w:r>
            <w:r w:rsidRPr="00A85A32">
              <w:rPr>
                <w:b/>
                <w:snapToGrid w:val="0"/>
                <w:spacing w:val="-4"/>
                <w:szCs w:val="22"/>
              </w:rPr>
              <w:t>ide</w:t>
            </w:r>
            <w:proofErr w:type="spellEnd"/>
            <w:r w:rsidRPr="00A85A32">
              <w:rPr>
                <w:b/>
                <w:snapToGrid w:val="0"/>
                <w:spacing w:val="-4"/>
                <w:szCs w:val="22"/>
              </w:rPr>
              <w:t xml:space="preserve"> Assurance (FWA)</w:t>
            </w:r>
          </w:p>
        </w:tc>
        <w:tc>
          <w:tcPr>
            <w:tcW w:w="3666" w:type="pct"/>
          </w:tcPr>
          <w:p w14:paraId="61A9A90B" w14:textId="77777777" w:rsidR="00352BFA" w:rsidRPr="00A85A32" w:rsidRDefault="0020638F" w:rsidP="00590169">
            <w:pPr>
              <w:pStyle w:val="TX-TableText"/>
              <w:spacing w:before="100" w:beforeAutospacing="1" w:after="100" w:afterAutospacing="1"/>
              <w:ind w:left="0"/>
              <w:rPr>
                <w:szCs w:val="22"/>
              </w:rPr>
            </w:pPr>
            <w:r w:rsidRPr="00A85A32">
              <w:rPr>
                <w:szCs w:val="22"/>
              </w:rPr>
              <w:t>C</w:t>
            </w:r>
            <w:r w:rsidR="00352BFA" w:rsidRPr="00A85A32">
              <w:rPr>
                <w:szCs w:val="22"/>
              </w:rPr>
              <w:t xml:space="preserve">ontains the institution’s FWA# and expiration date. These can be found online at: </w:t>
            </w:r>
            <w:hyperlink r:id="rId15" w:history="1">
              <w:r w:rsidR="00352BFA" w:rsidRPr="00A85A32">
                <w:rPr>
                  <w:rStyle w:val="Hyperlink"/>
                  <w:szCs w:val="22"/>
                </w:rPr>
                <w:t>https://ohrp.cit.nih.gov/search/fwasearch.aspx?styp=bsc</w:t>
              </w:r>
            </w:hyperlink>
          </w:p>
        </w:tc>
      </w:tr>
      <w:tr w:rsidR="00352BFA" w:rsidRPr="00A85A32" w14:paraId="405E4434" w14:textId="77777777" w:rsidTr="00D62F00">
        <w:tc>
          <w:tcPr>
            <w:tcW w:w="1334" w:type="pct"/>
          </w:tcPr>
          <w:p w14:paraId="1E2E8CF1" w14:textId="77777777" w:rsidR="00352BFA" w:rsidRPr="00A85A32" w:rsidRDefault="00352BFA" w:rsidP="00590169">
            <w:pPr>
              <w:pStyle w:val="TX-TableText"/>
              <w:spacing w:before="100" w:beforeAutospacing="1" w:after="100" w:afterAutospacing="1"/>
              <w:ind w:left="0"/>
              <w:rPr>
                <w:b/>
                <w:snapToGrid w:val="0"/>
                <w:szCs w:val="22"/>
              </w:rPr>
            </w:pPr>
            <w:r w:rsidRPr="00A85A32">
              <w:rPr>
                <w:b/>
                <w:snapToGrid w:val="0"/>
                <w:szCs w:val="22"/>
              </w:rPr>
              <w:t>DSMB Charter</w:t>
            </w:r>
            <w:r w:rsidR="00A47C51" w:rsidRPr="00A85A32">
              <w:rPr>
                <w:b/>
                <w:snapToGrid w:val="0"/>
                <w:szCs w:val="22"/>
              </w:rPr>
              <w:t>*</w:t>
            </w:r>
          </w:p>
        </w:tc>
        <w:tc>
          <w:tcPr>
            <w:tcW w:w="3666" w:type="pct"/>
          </w:tcPr>
          <w:p w14:paraId="7AE1B80A" w14:textId="516332D1" w:rsidR="00352BFA" w:rsidRPr="00A85A32" w:rsidRDefault="00352BFA" w:rsidP="00590169">
            <w:pPr>
              <w:pStyle w:val="TX-TableText"/>
              <w:spacing w:before="100" w:beforeAutospacing="1" w:after="100" w:afterAutospacing="1"/>
              <w:ind w:left="0"/>
              <w:rPr>
                <w:szCs w:val="22"/>
              </w:rPr>
            </w:pPr>
            <w:r w:rsidRPr="00A85A32">
              <w:rPr>
                <w:szCs w:val="22"/>
              </w:rPr>
              <w:t xml:space="preserve">Describes the member composition, role, obligations, meeting schedule/format, and study approval process for the </w:t>
            </w:r>
            <w:r w:rsidR="00960547" w:rsidRPr="00A85A32">
              <w:rPr>
                <w:szCs w:val="22"/>
              </w:rPr>
              <w:t>Data and Safety Monitoring Board (</w:t>
            </w:r>
            <w:r w:rsidRPr="00A85A32">
              <w:rPr>
                <w:szCs w:val="22"/>
              </w:rPr>
              <w:t>DSMB</w:t>
            </w:r>
            <w:r w:rsidR="00960547" w:rsidRPr="00A85A32">
              <w:rPr>
                <w:szCs w:val="22"/>
              </w:rPr>
              <w:t>)</w:t>
            </w:r>
            <w:r w:rsidRPr="00A85A32">
              <w:rPr>
                <w:szCs w:val="22"/>
              </w:rPr>
              <w:t xml:space="preserve">.  </w:t>
            </w:r>
          </w:p>
        </w:tc>
      </w:tr>
      <w:tr w:rsidR="00352BFA" w:rsidRPr="00A85A32" w14:paraId="4832778C" w14:textId="77777777" w:rsidTr="00D62F00">
        <w:tc>
          <w:tcPr>
            <w:tcW w:w="1334" w:type="pct"/>
          </w:tcPr>
          <w:p w14:paraId="7B6B605E" w14:textId="77777777" w:rsidR="00352BFA" w:rsidRPr="00A85A32" w:rsidRDefault="00352BFA" w:rsidP="00590169">
            <w:pPr>
              <w:pStyle w:val="TX-TableText"/>
              <w:spacing w:before="100" w:beforeAutospacing="1" w:after="100" w:afterAutospacing="1"/>
              <w:ind w:left="0"/>
              <w:rPr>
                <w:b/>
                <w:snapToGrid w:val="0"/>
                <w:szCs w:val="22"/>
              </w:rPr>
            </w:pPr>
            <w:r w:rsidRPr="00A85A32">
              <w:rPr>
                <w:b/>
                <w:snapToGrid w:val="0"/>
                <w:szCs w:val="22"/>
              </w:rPr>
              <w:t>DSMB reports, correspondence and approvals</w:t>
            </w:r>
            <w:r w:rsidR="00A47C51" w:rsidRPr="00A85A32">
              <w:rPr>
                <w:b/>
                <w:snapToGrid w:val="0"/>
                <w:szCs w:val="22"/>
              </w:rPr>
              <w:t>*</w:t>
            </w:r>
          </w:p>
        </w:tc>
        <w:tc>
          <w:tcPr>
            <w:tcW w:w="3666" w:type="pct"/>
          </w:tcPr>
          <w:p w14:paraId="615D026A" w14:textId="77777777" w:rsidR="00352BFA" w:rsidRPr="00A85A32" w:rsidRDefault="0020638F" w:rsidP="00590169">
            <w:pPr>
              <w:pStyle w:val="TX-TableText"/>
              <w:spacing w:before="100" w:beforeAutospacing="1" w:after="100" w:afterAutospacing="1"/>
              <w:ind w:left="0"/>
              <w:rPr>
                <w:szCs w:val="22"/>
              </w:rPr>
            </w:pPr>
            <w:r w:rsidRPr="00A85A32">
              <w:rPr>
                <w:szCs w:val="22"/>
              </w:rPr>
              <w:t>DSMB required documents should be s</w:t>
            </w:r>
            <w:r w:rsidR="00352BFA" w:rsidRPr="00A85A32">
              <w:rPr>
                <w:szCs w:val="22"/>
              </w:rPr>
              <w:t xml:space="preserve">ubmitted to the DSMB per the DSMB Charter. </w:t>
            </w:r>
          </w:p>
        </w:tc>
      </w:tr>
      <w:tr w:rsidR="00352BFA" w:rsidRPr="00A85A32" w14:paraId="17BF1696" w14:textId="77777777" w:rsidTr="00D62F00">
        <w:tc>
          <w:tcPr>
            <w:tcW w:w="1334" w:type="pct"/>
          </w:tcPr>
          <w:p w14:paraId="532103EF" w14:textId="77777777" w:rsidR="00352BFA" w:rsidRPr="00A85A32" w:rsidRDefault="00352BFA" w:rsidP="00590169">
            <w:pPr>
              <w:pStyle w:val="TX-TableText"/>
              <w:spacing w:before="100" w:beforeAutospacing="1" w:after="100" w:afterAutospacing="1"/>
              <w:ind w:left="0"/>
              <w:rPr>
                <w:b/>
                <w:snapToGrid w:val="0"/>
                <w:szCs w:val="22"/>
              </w:rPr>
            </w:pPr>
            <w:r w:rsidRPr="00A85A32">
              <w:rPr>
                <w:b/>
                <w:snapToGrid w:val="0"/>
                <w:szCs w:val="22"/>
              </w:rPr>
              <w:t>Documentation of Human Subjects Protection Training</w:t>
            </w:r>
          </w:p>
        </w:tc>
        <w:tc>
          <w:tcPr>
            <w:tcW w:w="3666" w:type="pct"/>
          </w:tcPr>
          <w:p w14:paraId="34A0CC01" w14:textId="77777777" w:rsidR="00352BFA" w:rsidRPr="00A85A32" w:rsidRDefault="00352BFA" w:rsidP="00590169">
            <w:pPr>
              <w:pStyle w:val="TX-TableText"/>
              <w:spacing w:before="100" w:beforeAutospacing="1" w:after="100" w:afterAutospacing="1"/>
              <w:ind w:left="0"/>
              <w:rPr>
                <w:szCs w:val="22"/>
              </w:rPr>
            </w:pPr>
            <w:r w:rsidRPr="00A85A32">
              <w:rPr>
                <w:szCs w:val="22"/>
              </w:rPr>
              <w:t>Required for all study staff involved in the design and conduct of clinical research involving human subjects supported by NIH.</w:t>
            </w:r>
          </w:p>
        </w:tc>
      </w:tr>
      <w:tr w:rsidR="00352BFA" w:rsidRPr="00A85A32" w14:paraId="5271E968" w14:textId="77777777" w:rsidTr="00D62F00">
        <w:tc>
          <w:tcPr>
            <w:tcW w:w="1334" w:type="pct"/>
          </w:tcPr>
          <w:p w14:paraId="18D23244" w14:textId="77777777" w:rsidR="00352BFA" w:rsidRPr="00A85A32" w:rsidRDefault="00352BFA" w:rsidP="00590169">
            <w:pPr>
              <w:pStyle w:val="TX-TableText"/>
              <w:spacing w:before="100" w:beforeAutospacing="1" w:after="100" w:afterAutospacing="1"/>
              <w:ind w:left="0"/>
              <w:rPr>
                <w:b/>
                <w:snapToGrid w:val="0"/>
                <w:szCs w:val="22"/>
              </w:rPr>
            </w:pPr>
            <w:r w:rsidRPr="00A85A32">
              <w:rPr>
                <w:b/>
                <w:snapToGrid w:val="0"/>
                <w:szCs w:val="22"/>
              </w:rPr>
              <w:t xml:space="preserve">Documentation of </w:t>
            </w:r>
            <w:r w:rsidRPr="00A85A32">
              <w:rPr>
                <w:b/>
                <w:szCs w:val="22"/>
              </w:rPr>
              <w:t>GCP</w:t>
            </w:r>
            <w:r w:rsidRPr="00A85A32">
              <w:rPr>
                <w:b/>
                <w:snapToGrid w:val="0"/>
                <w:szCs w:val="22"/>
              </w:rPr>
              <w:t xml:space="preserve"> training</w:t>
            </w:r>
            <w:r w:rsidR="00A47C51" w:rsidRPr="00A85A32">
              <w:rPr>
                <w:b/>
                <w:snapToGrid w:val="0"/>
                <w:szCs w:val="22"/>
              </w:rPr>
              <w:t>*</w:t>
            </w:r>
          </w:p>
        </w:tc>
        <w:tc>
          <w:tcPr>
            <w:tcW w:w="3666" w:type="pct"/>
          </w:tcPr>
          <w:p w14:paraId="52DF0FE7" w14:textId="77777777" w:rsidR="00352BFA" w:rsidRPr="00A85A32" w:rsidRDefault="00352BFA" w:rsidP="00590169">
            <w:pPr>
              <w:pStyle w:val="TX-TableText"/>
              <w:spacing w:before="100" w:beforeAutospacing="1" w:after="100" w:afterAutospacing="1"/>
              <w:ind w:left="0"/>
              <w:rPr>
                <w:szCs w:val="22"/>
              </w:rPr>
            </w:pPr>
            <w:r w:rsidRPr="00A85A32">
              <w:rPr>
                <w:szCs w:val="22"/>
              </w:rPr>
              <w:t>All NIH-funded investigators and staff who are involved in the conduct, oversight, or management of clinical trials should be trained in GCP, consistent with principles of ICH E6 (R2).</w:t>
            </w:r>
          </w:p>
        </w:tc>
      </w:tr>
      <w:tr w:rsidR="00352BFA" w:rsidRPr="00A85A32" w14:paraId="4C56BDD0" w14:textId="77777777" w:rsidTr="00D62F00">
        <w:tc>
          <w:tcPr>
            <w:tcW w:w="1334" w:type="pct"/>
          </w:tcPr>
          <w:p w14:paraId="77142879" w14:textId="77777777" w:rsidR="00352BFA" w:rsidRPr="00A85A32" w:rsidRDefault="00352BFA" w:rsidP="00590169">
            <w:pPr>
              <w:pStyle w:val="TX-TableText"/>
              <w:spacing w:before="100" w:beforeAutospacing="1" w:after="100" w:afterAutospacing="1"/>
              <w:ind w:left="0"/>
              <w:rPr>
                <w:b/>
                <w:snapToGrid w:val="0"/>
                <w:szCs w:val="22"/>
              </w:rPr>
            </w:pPr>
            <w:r w:rsidRPr="00A85A32">
              <w:rPr>
                <w:b/>
                <w:snapToGrid w:val="0"/>
                <w:szCs w:val="22"/>
              </w:rPr>
              <w:t>NIMH Progress report submissions and correspondence</w:t>
            </w:r>
          </w:p>
        </w:tc>
        <w:tc>
          <w:tcPr>
            <w:tcW w:w="3666" w:type="pct"/>
          </w:tcPr>
          <w:p w14:paraId="5B61A729" w14:textId="77777777" w:rsidR="00352BFA" w:rsidRPr="00A85A32" w:rsidRDefault="00590169" w:rsidP="00590169">
            <w:pPr>
              <w:pStyle w:val="TX-TableText"/>
              <w:spacing w:before="100" w:beforeAutospacing="1" w:after="100" w:afterAutospacing="1"/>
              <w:ind w:left="0"/>
              <w:rPr>
                <w:szCs w:val="22"/>
              </w:rPr>
            </w:pPr>
            <w:r w:rsidRPr="00A85A32">
              <w:rPr>
                <w:rFonts w:cstheme="minorHAnsi"/>
                <w:color w:val="000000" w:themeColor="text1"/>
                <w:szCs w:val="22"/>
              </w:rPr>
              <w:t>Submitted annually to NIMH Program Officer to outline study progress for a reporting period.</w:t>
            </w:r>
          </w:p>
        </w:tc>
      </w:tr>
      <w:tr w:rsidR="002C06DB" w:rsidRPr="00A85A32" w14:paraId="3251629D" w14:textId="77777777" w:rsidTr="00D62F00">
        <w:tc>
          <w:tcPr>
            <w:tcW w:w="1334" w:type="pct"/>
          </w:tcPr>
          <w:p w14:paraId="36BCC04F" w14:textId="77777777" w:rsidR="002C06DB" w:rsidRPr="00A85A32" w:rsidRDefault="002C06DB" w:rsidP="00590169">
            <w:pPr>
              <w:pStyle w:val="TX-TableText"/>
              <w:spacing w:before="100" w:beforeAutospacing="1" w:after="100" w:afterAutospacing="1"/>
              <w:ind w:left="0"/>
              <w:rPr>
                <w:b/>
                <w:snapToGrid w:val="0"/>
                <w:szCs w:val="22"/>
              </w:rPr>
            </w:pPr>
            <w:r w:rsidRPr="00A85A32">
              <w:rPr>
                <w:b/>
                <w:snapToGrid w:val="0"/>
                <w:szCs w:val="22"/>
              </w:rPr>
              <w:t>Reportable Events Sent to NIMH</w:t>
            </w:r>
          </w:p>
        </w:tc>
        <w:tc>
          <w:tcPr>
            <w:tcW w:w="3666" w:type="pct"/>
          </w:tcPr>
          <w:p w14:paraId="022A782F" w14:textId="77777777" w:rsidR="002C06DB" w:rsidRPr="00A85A32" w:rsidRDefault="002C06DB" w:rsidP="00590169">
            <w:pPr>
              <w:pStyle w:val="TX-TableText"/>
              <w:spacing w:before="100" w:beforeAutospacing="1" w:after="100" w:afterAutospacing="1"/>
              <w:ind w:left="0"/>
              <w:rPr>
                <w:szCs w:val="22"/>
              </w:rPr>
            </w:pPr>
            <w:r w:rsidRPr="00A85A32">
              <w:rPr>
                <w:szCs w:val="22"/>
              </w:rPr>
              <w:t xml:space="preserve">Certain events related to a study require expedited reporting to NIMH. See: </w:t>
            </w:r>
            <w:hyperlink r:id="rId16" w:history="1">
              <w:r w:rsidRPr="00A85A32">
                <w:rPr>
                  <w:rStyle w:val="Hyperlink"/>
                  <w:szCs w:val="22"/>
                </w:rPr>
                <w:t>https://www.nimh.nih.gov/funding/clinical-research/nimh-reportable-events-policy.shtml</w:t>
              </w:r>
            </w:hyperlink>
          </w:p>
        </w:tc>
      </w:tr>
    </w:tbl>
    <w:p w14:paraId="7740FC13" w14:textId="77777777" w:rsidR="00A948A0" w:rsidRPr="00A85A32" w:rsidRDefault="00A47C51" w:rsidP="00A47C51">
      <w:r w:rsidRPr="00A85A32">
        <w:t xml:space="preserve">* Not required for </w:t>
      </w:r>
      <w:r w:rsidRPr="00A85A32">
        <w:rPr>
          <w:color w:val="000000" w:themeColor="text1"/>
        </w:rPr>
        <w:t xml:space="preserve">NIMH-funded human </w:t>
      </w:r>
      <w:proofErr w:type="gramStart"/>
      <w:r w:rsidRPr="00A85A32">
        <w:rPr>
          <w:color w:val="000000" w:themeColor="text1"/>
        </w:rPr>
        <w:t>subjects</w:t>
      </w:r>
      <w:proofErr w:type="gramEnd"/>
      <w:r w:rsidRPr="00A85A32">
        <w:rPr>
          <w:color w:val="000000" w:themeColor="text1"/>
        </w:rPr>
        <w:t xml:space="preserve"> studies that do not meet the NIH definition of a clinical trial, with </w:t>
      </w:r>
      <w:r w:rsidRPr="00A85A32">
        <w:t>an investigational drug or device under an FDA IND or IDE</w:t>
      </w:r>
      <w:bookmarkEnd w:id="6"/>
      <w:r w:rsidR="00406294" w:rsidRPr="00A85A32">
        <w:t>.</w:t>
      </w:r>
    </w:p>
    <w:sectPr w:rsidR="00A948A0" w:rsidRPr="00A8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A1BD8" w14:textId="77777777" w:rsidR="00DF5FA6" w:rsidRDefault="00DF5FA6" w:rsidP="0020638F">
      <w:pPr>
        <w:spacing w:after="0" w:line="240" w:lineRule="auto"/>
      </w:pPr>
      <w:r>
        <w:separator/>
      </w:r>
    </w:p>
  </w:endnote>
  <w:endnote w:type="continuationSeparator" w:id="0">
    <w:p w14:paraId="35F06B4C" w14:textId="77777777" w:rsidR="00DF5FA6" w:rsidRDefault="00DF5FA6" w:rsidP="0020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191F0" w14:textId="77777777" w:rsidR="00D66752" w:rsidRDefault="00D66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5E9A" w14:textId="7F8C9A86" w:rsidR="008B1F11" w:rsidRDefault="00A85A32">
    <w:pPr>
      <w:pStyle w:val="Footer"/>
    </w:pPr>
    <w:r w:rsidRPr="00E0258A">
      <w:rPr>
        <w:sz w:val="20"/>
      </w:rPr>
      <w:t xml:space="preserve">NIMH Version 1.0 </w:t>
    </w:r>
    <w:r w:rsidR="001755FC">
      <w:rPr>
        <w:sz w:val="20"/>
      </w:rPr>
      <w:t xml:space="preserve">July </w:t>
    </w:r>
    <w:r w:rsidR="001755FC">
      <w:rPr>
        <w:sz w:val="20"/>
      </w:rPr>
      <w:t>2019</w:t>
    </w:r>
    <w:bookmarkStart w:id="2" w:name="_GoBack"/>
    <w:bookmarkEnd w:id="2"/>
    <w:r>
      <w:ptab w:relativeTo="margin" w:alignment="center" w:leader="none"/>
    </w:r>
    <w:r>
      <w:ptab w:relativeTo="margin" w:alignment="right" w:leader="none"/>
    </w:r>
    <w:r w:rsidRPr="00E0258A">
      <w:rPr>
        <w:sz w:val="20"/>
      </w:rPr>
      <w:t xml:space="preserve">Page </w:t>
    </w:r>
    <w:r w:rsidRPr="00E0258A">
      <w:rPr>
        <w:b/>
        <w:bCs/>
        <w:sz w:val="20"/>
      </w:rPr>
      <w:fldChar w:fldCharType="begin"/>
    </w:r>
    <w:r w:rsidRPr="00E0258A">
      <w:rPr>
        <w:b/>
        <w:bCs/>
        <w:sz w:val="20"/>
      </w:rPr>
      <w:instrText xml:space="preserve"> PAGE  \* Arabic  \* MERGEFORMAT </w:instrText>
    </w:r>
    <w:r w:rsidRPr="00E0258A">
      <w:rPr>
        <w:b/>
        <w:bCs/>
        <w:sz w:val="20"/>
      </w:rPr>
      <w:fldChar w:fldCharType="separate"/>
    </w:r>
    <w:r>
      <w:rPr>
        <w:b/>
        <w:bCs/>
      </w:rPr>
      <w:t>2</w:t>
    </w:r>
    <w:r w:rsidRPr="00E0258A">
      <w:rPr>
        <w:b/>
        <w:bCs/>
        <w:sz w:val="20"/>
      </w:rPr>
      <w:fldChar w:fldCharType="end"/>
    </w:r>
    <w:r w:rsidRPr="00E0258A">
      <w:rPr>
        <w:sz w:val="20"/>
      </w:rPr>
      <w:t xml:space="preserve"> of </w:t>
    </w:r>
    <w:r w:rsidRPr="00E0258A">
      <w:rPr>
        <w:b/>
        <w:bCs/>
        <w:sz w:val="20"/>
      </w:rPr>
      <w:fldChar w:fldCharType="begin"/>
    </w:r>
    <w:r w:rsidRPr="00E0258A">
      <w:rPr>
        <w:b/>
        <w:bCs/>
        <w:sz w:val="20"/>
      </w:rPr>
      <w:instrText xml:space="preserve"> NUMPAGES  \* Arabic  \* MERGEFORMAT </w:instrText>
    </w:r>
    <w:r w:rsidRPr="00E0258A">
      <w:rPr>
        <w:b/>
        <w:bCs/>
        <w:sz w:val="20"/>
      </w:rPr>
      <w:fldChar w:fldCharType="separate"/>
    </w:r>
    <w:r>
      <w:rPr>
        <w:b/>
        <w:bCs/>
      </w:rPr>
      <w:t>2</w:t>
    </w:r>
    <w:r w:rsidRPr="00E0258A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A603" w14:textId="77777777" w:rsidR="00D66752" w:rsidRDefault="00D66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3F915" w14:textId="77777777" w:rsidR="00DF5FA6" w:rsidRDefault="00DF5FA6" w:rsidP="0020638F">
      <w:pPr>
        <w:spacing w:after="0" w:line="240" w:lineRule="auto"/>
      </w:pPr>
      <w:r>
        <w:separator/>
      </w:r>
    </w:p>
  </w:footnote>
  <w:footnote w:type="continuationSeparator" w:id="0">
    <w:p w14:paraId="47F29F5D" w14:textId="77777777" w:rsidR="00DF5FA6" w:rsidRDefault="00DF5FA6" w:rsidP="0020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CF4D" w14:textId="77777777" w:rsidR="00D66752" w:rsidRDefault="00D66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D7E0E" w14:textId="64B8AFE2" w:rsidR="0058795E" w:rsidRDefault="00A85A32" w:rsidP="00D66752">
    <w:pPr>
      <w:pStyle w:val="Header"/>
      <w:jc w:val="center"/>
    </w:pPr>
    <w:r w:rsidRPr="00A85A32">
      <w:t xml:space="preserve">NIMH Regulatory Document Checklist for a Study under an FDA IND or IDE </w:t>
    </w:r>
    <w:r w:rsidR="0058795E">
      <w:t>Version</w:t>
    </w:r>
    <w:r>
      <w:t xml:space="preserve"> 1.0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D27E4" w14:textId="77777777" w:rsidR="00D66752" w:rsidRDefault="00D66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5025F"/>
    <w:multiLevelType w:val="hybridMultilevel"/>
    <w:tmpl w:val="26F04390"/>
    <w:lvl w:ilvl="0" w:tplc="00504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A0"/>
    <w:rsid w:val="00067156"/>
    <w:rsid w:val="000A67D4"/>
    <w:rsid w:val="001134A5"/>
    <w:rsid w:val="00157CDE"/>
    <w:rsid w:val="001755FC"/>
    <w:rsid w:val="0020638F"/>
    <w:rsid w:val="002A58F4"/>
    <w:rsid w:val="002C06DB"/>
    <w:rsid w:val="00303F54"/>
    <w:rsid w:val="00325BF6"/>
    <w:rsid w:val="00352BFA"/>
    <w:rsid w:val="00391725"/>
    <w:rsid w:val="00406294"/>
    <w:rsid w:val="00481A03"/>
    <w:rsid w:val="00491804"/>
    <w:rsid w:val="004A132E"/>
    <w:rsid w:val="004D0DE5"/>
    <w:rsid w:val="004F5E47"/>
    <w:rsid w:val="00536F26"/>
    <w:rsid w:val="00553FA2"/>
    <w:rsid w:val="0058795E"/>
    <w:rsid w:val="00590169"/>
    <w:rsid w:val="005A1109"/>
    <w:rsid w:val="005D555F"/>
    <w:rsid w:val="00643A1A"/>
    <w:rsid w:val="006B39BE"/>
    <w:rsid w:val="006D160E"/>
    <w:rsid w:val="007D53E7"/>
    <w:rsid w:val="007E638E"/>
    <w:rsid w:val="007E6BBF"/>
    <w:rsid w:val="00817645"/>
    <w:rsid w:val="008177BD"/>
    <w:rsid w:val="00873A9C"/>
    <w:rsid w:val="008B1F11"/>
    <w:rsid w:val="00917C6B"/>
    <w:rsid w:val="00960547"/>
    <w:rsid w:val="00A04F9B"/>
    <w:rsid w:val="00A47C51"/>
    <w:rsid w:val="00A85A32"/>
    <w:rsid w:val="00A948A0"/>
    <w:rsid w:val="00A9675D"/>
    <w:rsid w:val="00AD29A6"/>
    <w:rsid w:val="00B42E8F"/>
    <w:rsid w:val="00B7153E"/>
    <w:rsid w:val="00BB31A0"/>
    <w:rsid w:val="00BD0973"/>
    <w:rsid w:val="00D43AEF"/>
    <w:rsid w:val="00D62F00"/>
    <w:rsid w:val="00D66752"/>
    <w:rsid w:val="00DF5FA6"/>
    <w:rsid w:val="00F2568C"/>
    <w:rsid w:val="00F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2950"/>
  <w15:chartTrackingRefBased/>
  <w15:docId w15:val="{88C4598D-3C82-477C-AC60-33EED941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-TableText">
    <w:name w:val="TX-Table Text"/>
    <w:basedOn w:val="Normal"/>
    <w:rsid w:val="00A948A0"/>
    <w:pPr>
      <w:spacing w:after="120" w:line="240" w:lineRule="atLeast"/>
      <w:ind w:left="162"/>
    </w:pPr>
    <w:rPr>
      <w:rFonts w:eastAsia="Times New Roman" w:cs="Times New Roman"/>
      <w:szCs w:val="20"/>
    </w:rPr>
  </w:style>
  <w:style w:type="paragraph" w:customStyle="1" w:styleId="TH-TableHeading">
    <w:name w:val="TH-Table Heading"/>
    <w:basedOn w:val="Normal"/>
    <w:qFormat/>
    <w:rsid w:val="00A948A0"/>
    <w:pPr>
      <w:spacing w:after="0" w:line="240" w:lineRule="atLeast"/>
      <w:jc w:val="center"/>
    </w:pPr>
    <w:rPr>
      <w:rFonts w:eastAsia="Times New Roman" w:cs="Times New Roman"/>
      <w:b/>
      <w:szCs w:val="28"/>
    </w:rPr>
  </w:style>
  <w:style w:type="paragraph" w:styleId="ListParagraph">
    <w:name w:val="List Paragraph"/>
    <w:basedOn w:val="Normal"/>
    <w:uiPriority w:val="34"/>
    <w:qFormat/>
    <w:rsid w:val="00A948A0"/>
    <w:pPr>
      <w:spacing w:after="0" w:line="240" w:lineRule="atLeast"/>
      <w:ind w:left="720"/>
      <w:contextualSpacing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C0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0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06D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38F"/>
  </w:style>
  <w:style w:type="paragraph" w:styleId="Footer">
    <w:name w:val="footer"/>
    <w:basedOn w:val="Normal"/>
    <w:link w:val="FooterChar"/>
    <w:uiPriority w:val="99"/>
    <w:unhideWhenUsed/>
    <w:rsid w:val="0020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38F"/>
  </w:style>
  <w:style w:type="character" w:styleId="CommentReference">
    <w:name w:val="annotation reference"/>
    <w:basedOn w:val="DefaultParagraphFont"/>
    <w:uiPriority w:val="99"/>
    <w:semiHidden/>
    <w:unhideWhenUsed/>
    <w:rsid w:val="00406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2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94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D62F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grants.nih.gov/policy/clinical-trials/definition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imh.nih.gov/funding/clinical-research/nimh-reportable-events-policy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ohrp.cit.nih.gov/search/fwasearch.aspx?styp=bsc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fda.gov/downloads/Drugs/Guidances/UCM4645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Gilardi, Katelyn (NIH/NIMH) [C]</dc:creator>
  <cp:keywords/>
  <dc:description/>
  <cp:lastModifiedBy>Rachel Scheinert</cp:lastModifiedBy>
  <cp:revision>3</cp:revision>
  <dcterms:created xsi:type="dcterms:W3CDTF">2019-01-26T02:29:00Z</dcterms:created>
  <dcterms:modified xsi:type="dcterms:W3CDTF">2019-07-06T01:43:00Z</dcterms:modified>
</cp:coreProperties>
</file>